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Úterý 14. 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čebnice str. 107/cv. 12 přepsat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čebnice str. 80/cv.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ácí se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Pracovní se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šit str. 12/cv. 2,3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zopakovat si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átek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řemyslovců a pokračovat v učebnici na str. 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24 - 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íst, seznámit se s 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čivem.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Str. 24 ZAPAMATUJ SI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druh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odstavec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ředa 15. 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čebnice str. 130 (Rovnoběžn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íky) pro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íst,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 vysvětlit,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čtyř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úhelníky jsou rovnob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é, které pravoúhlé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Pracovní se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šit str. 34/cv. 1,2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vaš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úkolem bude napsat dopis kamarádovi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kamar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Napi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šte mu, jak se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áte, co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áte, na co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často teď vzpom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ínáte, co vám chybí, jak se cítíte, atd.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dopis by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 obsahovat: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místo, datum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oslovení adresáta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vlastní dopis (sd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zakon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dopisu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podpis.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Dopis napi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šte na velikost pap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íru A4. Kdo má na tiskárn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skener, rukou psan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dopis mi oskenuje, kdo skener nemá, dopis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 vyfotit na mobilu. Dopis mi pošlete na email. Dopisy (samozřejmě se souhlasem rodičů) budou vloženy na webov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stránky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Čtvrtek 16. 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pracovn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list str. 46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pracovn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šit str. 12/cv.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opakovat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řemyslovsk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kní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žata str. 21 - 24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Pátek 17. 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pracovn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list str. 47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pracovn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šit str. 12/cv.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ítanka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str. 102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103 (JAK RABI 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ÖW STVO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ŘIL GOLEMA) - přeč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Str. 104 - 105  (O TOULAVÉ KAPCE KRVE A NEMOCNÉM KRÁLI) -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